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5" w:rsidRDefault="007A3488" w:rsidP="007A3488">
      <w:pPr>
        <w:tabs>
          <w:tab w:val="right" w:pos="8459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597994B" wp14:editId="23E08FC4">
            <wp:extent cx="3427095" cy="572770"/>
            <wp:effectExtent l="0" t="0" r="1905" b="0"/>
            <wp:docPr id="3" name="Рисунок 3" descr="Logo_ILPP_rus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LPP_rus_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 w:rsidR="00654225">
        <w:rPr>
          <w:noProof/>
        </w:rPr>
        <w:drawing>
          <wp:anchor distT="0" distB="0" distL="114300" distR="114300" simplePos="0" relativeHeight="251659264" behindDoc="0" locked="0" layoutInCell="1" allowOverlap="1" wp14:anchorId="78F80A8C" wp14:editId="5EB98D7A">
            <wp:simplePos x="0" y="0"/>
            <wp:positionH relativeFrom="column">
              <wp:posOffset>5485765</wp:posOffset>
            </wp:positionH>
            <wp:positionV relativeFrom="paragraph">
              <wp:posOffset>3175</wp:posOffset>
            </wp:positionV>
            <wp:extent cx="454025" cy="457835"/>
            <wp:effectExtent l="0" t="0" r="3175" b="0"/>
            <wp:wrapSquare wrapText="bothSides"/>
            <wp:docPr id="2" name="Рисунок 2" descr="Описание: C:\ИРП\Тактактак\Эмблемы\Так-так-т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ИРП\Тактактак\Эмблемы\Так-так-та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25"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p w:rsidR="00654225" w:rsidRPr="007A3488" w:rsidRDefault="00654225" w:rsidP="0065422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18"/>
          <w:szCs w:val="18"/>
        </w:rPr>
      </w:pPr>
      <w:r w:rsidRPr="007A3488">
        <w:rPr>
          <w:rFonts w:ascii="Arial" w:hAnsi="Arial" w:cs="Arial"/>
          <w:b/>
          <w:sz w:val="18"/>
          <w:szCs w:val="18"/>
        </w:rPr>
        <w:t>Фонд «Так-так-так»</w:t>
      </w:r>
    </w:p>
    <w:tbl>
      <w:tblPr>
        <w:tblW w:w="10260" w:type="dxa"/>
        <w:tblInd w:w="-432" w:type="dxa"/>
        <w:tblLook w:val="00A0" w:firstRow="1" w:lastRow="0" w:firstColumn="1" w:lastColumn="0" w:noHBand="0" w:noVBand="0"/>
      </w:tblPr>
      <w:tblGrid>
        <w:gridCol w:w="1848"/>
        <w:gridCol w:w="632"/>
        <w:gridCol w:w="7780"/>
      </w:tblGrid>
      <w:tr w:rsidR="007A3488" w:rsidRPr="00CB3C4E" w:rsidTr="00926CF0">
        <w:tc>
          <w:tcPr>
            <w:tcW w:w="10260" w:type="dxa"/>
            <w:gridSpan w:val="3"/>
          </w:tcPr>
          <w:p w:rsidR="007A3488" w:rsidRPr="007A3488" w:rsidRDefault="00654225" w:rsidP="00926CF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  </w:t>
            </w:r>
            <w:r>
              <w:br w:type="textWrapping" w:clear="all"/>
            </w:r>
            <w:r w:rsidR="007A3488" w:rsidRPr="007A3488">
              <w:rPr>
                <w:b/>
                <w:bCs/>
                <w:sz w:val="22"/>
                <w:szCs w:val="22"/>
              </w:rPr>
              <w:t>Семинар для адвокатов и юристов</w:t>
            </w:r>
          </w:p>
          <w:p w:rsidR="007A3488" w:rsidRPr="007A3488" w:rsidRDefault="007A3488" w:rsidP="00926CF0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«Жалоба в Конституционный суд Р</w:t>
            </w:r>
            <w:r w:rsidRPr="007A3488">
              <w:rPr>
                <w:b/>
                <w:bCs/>
              </w:rPr>
              <w:t xml:space="preserve">оссии: </w:t>
            </w:r>
            <w:r>
              <w:rPr>
                <w:b/>
                <w:bCs/>
              </w:rPr>
              <w:t>в</w:t>
            </w:r>
            <w:r w:rsidRPr="007A3488">
              <w:rPr>
                <w:b/>
                <w:bCs/>
              </w:rPr>
              <w:t>озможности, риски, перспективы»</w:t>
            </w:r>
            <w:r w:rsidRPr="007A3488">
              <w:rPr>
                <w:b/>
                <w:bCs/>
              </w:rPr>
              <w:t xml:space="preserve"> </w:t>
            </w:r>
          </w:p>
          <w:p w:rsidR="007A3488" w:rsidRPr="00475C47" w:rsidRDefault="007A3488" w:rsidP="00926CF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488" w:rsidRPr="00CB3C4E" w:rsidTr="00926CF0">
        <w:tc>
          <w:tcPr>
            <w:tcW w:w="2480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780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Cs/>
                <w:sz w:val="22"/>
                <w:szCs w:val="22"/>
                <w:lang w:val="en-US"/>
              </w:rPr>
              <w:t>20</w:t>
            </w:r>
            <w:r w:rsidRPr="007A3488">
              <w:rPr>
                <w:bCs/>
                <w:sz w:val="22"/>
                <w:szCs w:val="22"/>
              </w:rPr>
              <w:t>-21</w:t>
            </w:r>
            <w:r w:rsidRPr="007A348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A3488">
              <w:rPr>
                <w:bCs/>
                <w:sz w:val="22"/>
                <w:szCs w:val="22"/>
              </w:rPr>
              <w:t>февраля 2017 г.</w:t>
            </w:r>
          </w:p>
        </w:tc>
      </w:tr>
      <w:tr w:rsidR="007A3488" w:rsidRPr="005E72F6" w:rsidTr="00926CF0">
        <w:tc>
          <w:tcPr>
            <w:tcW w:w="2480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Место проведения:</w:t>
            </w:r>
          </w:p>
        </w:tc>
        <w:tc>
          <w:tcPr>
            <w:tcW w:w="7780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  <w:highlight w:val="yellow"/>
              </w:rPr>
            </w:pPr>
            <w:r w:rsidRPr="007A3488">
              <w:rPr>
                <w:sz w:val="22"/>
                <w:szCs w:val="22"/>
              </w:rPr>
              <w:t xml:space="preserve">г. Новосибирск, </w:t>
            </w:r>
            <w:proofErr w:type="spellStart"/>
            <w:r w:rsidRPr="007A3488">
              <w:rPr>
                <w:sz w:val="22"/>
                <w:szCs w:val="22"/>
              </w:rPr>
              <w:t>Gorskiy</w:t>
            </w:r>
            <w:proofErr w:type="spellEnd"/>
            <w:r w:rsidRPr="007A3488">
              <w:rPr>
                <w:sz w:val="22"/>
                <w:szCs w:val="22"/>
              </w:rPr>
              <w:t xml:space="preserve"> </w:t>
            </w:r>
            <w:proofErr w:type="spellStart"/>
            <w:r w:rsidRPr="007A3488">
              <w:rPr>
                <w:sz w:val="22"/>
                <w:szCs w:val="22"/>
              </w:rPr>
              <w:t>city</w:t>
            </w:r>
            <w:proofErr w:type="spellEnd"/>
            <w:r w:rsidRPr="007A3488">
              <w:rPr>
                <w:sz w:val="22"/>
                <w:szCs w:val="22"/>
              </w:rPr>
              <w:t xml:space="preserve"> </w:t>
            </w:r>
            <w:proofErr w:type="spellStart"/>
            <w:r w:rsidRPr="007A3488">
              <w:rPr>
                <w:sz w:val="22"/>
                <w:szCs w:val="22"/>
              </w:rPr>
              <w:t>hotel</w:t>
            </w:r>
            <w:proofErr w:type="spellEnd"/>
            <w:r w:rsidRPr="007A3488">
              <w:rPr>
                <w:sz w:val="22"/>
                <w:szCs w:val="22"/>
              </w:rPr>
              <w:t xml:space="preserve">, </w:t>
            </w:r>
            <w:hyperlink r:id="rId7" w:history="1">
              <w:r w:rsidRPr="007A3488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</w:rPr>
                <w:t>ул. Немировича-Данченко, 144</w:t>
              </w:r>
              <w:r w:rsidRPr="007A3488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r w:rsidRPr="007A3488">
                <w:rPr>
                  <w:rStyle w:val="a6"/>
                  <w:color w:val="auto"/>
                  <w:sz w:val="22"/>
                  <w:szCs w:val="22"/>
                  <w:bdr w:val="none" w:sz="0" w:space="0" w:color="auto" w:frame="1"/>
                </w:rPr>
                <w:t>а</w:t>
              </w:r>
            </w:hyperlink>
          </w:p>
        </w:tc>
      </w:tr>
      <w:tr w:rsidR="007A3488" w:rsidRPr="00CB3C4E" w:rsidTr="00926CF0">
        <w:tc>
          <w:tcPr>
            <w:tcW w:w="10260" w:type="dxa"/>
            <w:gridSpan w:val="3"/>
            <w:shd w:val="clear" w:color="auto" w:fill="990000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20 ФЕВРАЛЯ (ПОНЕДЕЛЬНИК)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09:30 – 10:00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Регистрация участников</w:t>
            </w:r>
            <w:r w:rsidRPr="007A3488">
              <w:rPr>
                <w:sz w:val="22"/>
                <w:szCs w:val="22"/>
              </w:rPr>
              <w:t>.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10:00 – 10:20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Открытие семинара</w:t>
            </w:r>
          </w:p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 xml:space="preserve">Приветственное слово </w:t>
            </w:r>
            <w:r w:rsidRPr="007A3488">
              <w:rPr>
                <w:i/>
                <w:sz w:val="22"/>
                <w:szCs w:val="22"/>
              </w:rPr>
              <w:t xml:space="preserve">Григория </w:t>
            </w:r>
            <w:proofErr w:type="spellStart"/>
            <w:r w:rsidRPr="007A3488">
              <w:rPr>
                <w:i/>
                <w:sz w:val="22"/>
                <w:szCs w:val="22"/>
              </w:rPr>
              <w:t>Вайпана</w:t>
            </w:r>
            <w:proofErr w:type="spellEnd"/>
            <w:r w:rsidRPr="007A3488">
              <w:rPr>
                <w:sz w:val="22"/>
                <w:szCs w:val="22"/>
              </w:rPr>
              <w:t>. Информация о Проекте «Содействие участию гражданского общества в общественно значимых конституционных судебных процессах в России»</w:t>
            </w:r>
            <w:r w:rsidRPr="007A3488">
              <w:rPr>
                <w:sz w:val="22"/>
                <w:szCs w:val="22"/>
              </w:rPr>
              <w:t>.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 xml:space="preserve">10:20 – 11:40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Конституционный Суд России как средство судебной защиты прав</w:t>
            </w:r>
          </w:p>
          <w:p w:rsidR="007A3488" w:rsidRPr="007A3488" w:rsidRDefault="007A3488" w:rsidP="007A3488">
            <w:pPr>
              <w:spacing w:before="40" w:after="40"/>
              <w:rPr>
                <w:i/>
                <w:sz w:val="22"/>
                <w:szCs w:val="22"/>
              </w:rPr>
            </w:pPr>
            <w:r w:rsidRPr="007A3488">
              <w:rPr>
                <w:i/>
                <w:sz w:val="22"/>
                <w:szCs w:val="22"/>
              </w:rPr>
              <w:t xml:space="preserve">Ольга </w:t>
            </w:r>
            <w:proofErr w:type="spellStart"/>
            <w:r w:rsidRPr="007A3488">
              <w:rPr>
                <w:i/>
                <w:sz w:val="22"/>
                <w:szCs w:val="22"/>
              </w:rPr>
              <w:t>Подоплелова</w:t>
            </w:r>
            <w:proofErr w:type="spellEnd"/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 xml:space="preserve">11:40 – 11:55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Кофе-брейк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11:55 – 13:15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Конституционный Суд России как средство судебной защиты прав</w:t>
            </w:r>
            <w:r w:rsidRPr="007A3488">
              <w:rPr>
                <w:sz w:val="22"/>
                <w:szCs w:val="22"/>
              </w:rPr>
              <w:t xml:space="preserve"> (продолжение)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 xml:space="preserve">13:15 – 14:15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Перерыв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14:15 – 15:35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Аргументация конституционной жалобы</w:t>
            </w:r>
          </w:p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i/>
                <w:sz w:val="22"/>
                <w:szCs w:val="22"/>
              </w:rPr>
              <w:t xml:space="preserve">Григорий </w:t>
            </w:r>
            <w:proofErr w:type="spellStart"/>
            <w:r w:rsidRPr="007A3488">
              <w:rPr>
                <w:i/>
                <w:sz w:val="22"/>
                <w:szCs w:val="22"/>
              </w:rPr>
              <w:t>Вайпан</w:t>
            </w:r>
            <w:proofErr w:type="spellEnd"/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15:35 – 15:50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Кофе-брейк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15:50 – 17:10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 xml:space="preserve">Аргументация конституционной жалобы </w:t>
            </w:r>
            <w:r w:rsidRPr="007A3488">
              <w:rPr>
                <w:sz w:val="22"/>
                <w:szCs w:val="22"/>
              </w:rPr>
              <w:t>(продолжение)</w:t>
            </w:r>
          </w:p>
        </w:tc>
      </w:tr>
      <w:tr w:rsidR="007A3488" w:rsidRPr="00475C47" w:rsidTr="00926CF0">
        <w:tc>
          <w:tcPr>
            <w:tcW w:w="10260" w:type="dxa"/>
            <w:gridSpan w:val="3"/>
            <w:shd w:val="clear" w:color="auto" w:fill="990000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21 ФЕВРАЛЯ (ВТОРНИК)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09:30 – 10:00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Регистрация участников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10:00 – 11:20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Формальные и содержательные условия допустимости жалобы в Конституционный Суд</w:t>
            </w:r>
          </w:p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i/>
                <w:sz w:val="22"/>
                <w:szCs w:val="22"/>
              </w:rPr>
              <w:t xml:space="preserve">Ольга </w:t>
            </w:r>
            <w:proofErr w:type="spellStart"/>
            <w:r w:rsidRPr="007A3488">
              <w:rPr>
                <w:i/>
                <w:sz w:val="22"/>
                <w:szCs w:val="22"/>
              </w:rPr>
              <w:t>Подоплелова</w:t>
            </w:r>
            <w:proofErr w:type="spellEnd"/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11:20 – 11:35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Кофе-брейк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11:35 – 12:50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Формальные и содержательные условия допустимости жалобы в Конституционный Суд</w:t>
            </w:r>
          </w:p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(продолжение)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Cs/>
                <w:iCs/>
                <w:sz w:val="22"/>
                <w:szCs w:val="22"/>
              </w:rPr>
              <w:t xml:space="preserve">12:50 – 13:50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Cs/>
                <w:iCs/>
                <w:sz w:val="22"/>
                <w:szCs w:val="22"/>
              </w:rPr>
              <w:t>Перерыв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 xml:space="preserve">13:50 – 15:10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Ведение дела в Конституционном Суде: практическое занятие</w:t>
            </w:r>
          </w:p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i/>
                <w:sz w:val="22"/>
                <w:szCs w:val="22"/>
              </w:rPr>
              <w:t xml:space="preserve">Григорий </w:t>
            </w:r>
            <w:proofErr w:type="spellStart"/>
            <w:r w:rsidRPr="007A3488">
              <w:rPr>
                <w:i/>
                <w:sz w:val="22"/>
                <w:szCs w:val="22"/>
              </w:rPr>
              <w:t>Вайпан</w:t>
            </w:r>
            <w:proofErr w:type="spellEnd"/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 xml:space="preserve">15:10 – 15:25 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Кофе-брейк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b/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15:25 – 16:40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b/>
                <w:sz w:val="22"/>
                <w:szCs w:val="22"/>
              </w:rPr>
              <w:t>Ведение дела в Конституционном Суде: практическое занятие</w:t>
            </w:r>
            <w:r w:rsidRPr="007A3488">
              <w:rPr>
                <w:sz w:val="22"/>
                <w:szCs w:val="22"/>
              </w:rPr>
              <w:t xml:space="preserve"> (продолжение)</w:t>
            </w:r>
          </w:p>
        </w:tc>
      </w:tr>
      <w:tr w:rsidR="007A3488" w:rsidRPr="00CB3C4E" w:rsidTr="00926CF0">
        <w:tc>
          <w:tcPr>
            <w:tcW w:w="1848" w:type="dxa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16:40 – 17:10</w:t>
            </w:r>
          </w:p>
        </w:tc>
        <w:tc>
          <w:tcPr>
            <w:tcW w:w="8412" w:type="dxa"/>
            <w:gridSpan w:val="2"/>
          </w:tcPr>
          <w:p w:rsidR="007A3488" w:rsidRPr="007A3488" w:rsidRDefault="007A3488" w:rsidP="007A3488">
            <w:pPr>
              <w:spacing w:before="40" w:after="40"/>
              <w:rPr>
                <w:sz w:val="22"/>
                <w:szCs w:val="22"/>
              </w:rPr>
            </w:pPr>
            <w:r w:rsidRPr="007A3488">
              <w:rPr>
                <w:sz w:val="22"/>
                <w:szCs w:val="22"/>
              </w:rPr>
              <w:t>Вручение сертификатов</w:t>
            </w:r>
          </w:p>
        </w:tc>
      </w:tr>
      <w:tr w:rsidR="007A3488" w:rsidRPr="00CB3C4E" w:rsidTr="00926CF0">
        <w:tc>
          <w:tcPr>
            <w:tcW w:w="10260" w:type="dxa"/>
            <w:gridSpan w:val="3"/>
          </w:tcPr>
          <w:p w:rsidR="007A3488" w:rsidRDefault="007A3488" w:rsidP="007A3488">
            <w:pPr>
              <w:rPr>
                <w:b/>
                <w:sz w:val="14"/>
                <w:szCs w:val="14"/>
              </w:rPr>
            </w:pPr>
          </w:p>
          <w:p w:rsidR="007A3488" w:rsidRPr="00F9686D" w:rsidRDefault="007A3488" w:rsidP="007A3488">
            <w:pPr>
              <w:rPr>
                <w:sz w:val="14"/>
                <w:szCs w:val="14"/>
              </w:rPr>
            </w:pPr>
            <w:r w:rsidRPr="00F9686D">
              <w:rPr>
                <w:sz w:val="14"/>
                <w:szCs w:val="14"/>
              </w:rPr>
              <w:t>Семинары Института права и публичной политики соответствуют критериям Единой методики профессиональной подготовки и переподготовки адвокатов и стажеров адвокатов, утвержденной решением Совета Федеральной палаты адвокатов РФ от 30 ноября 2007 года (Протокол № 3)</w:t>
            </w:r>
          </w:p>
          <w:p w:rsidR="007A3488" w:rsidRPr="00651AFA" w:rsidRDefault="007A3488" w:rsidP="007A3488">
            <w:pPr>
              <w:rPr>
                <w:sz w:val="14"/>
                <w:szCs w:val="14"/>
                <w:highlight w:val="yellow"/>
                <w:lang w:val="en-US"/>
              </w:rPr>
            </w:pPr>
            <w:bookmarkStart w:id="0" w:name="_GoBack"/>
            <w:bookmarkEnd w:id="0"/>
            <w:r w:rsidRPr="00F9686D">
              <w:rPr>
                <w:sz w:val="14"/>
                <w:szCs w:val="14"/>
              </w:rPr>
              <w:t xml:space="preserve"> Семинар проводится при организационном содействии Фонда содействия развитию массовых коммуникаций и правовому просвещению «Так-так-так</w:t>
            </w:r>
            <w:r>
              <w:rPr>
                <w:sz w:val="14"/>
                <w:szCs w:val="14"/>
              </w:rPr>
              <w:t>»</w:t>
            </w:r>
          </w:p>
          <w:p w:rsidR="007A3488" w:rsidRPr="0026742A" w:rsidRDefault="007A3488" w:rsidP="007A3488">
            <w:pPr>
              <w:rPr>
                <w:i/>
                <w:sz w:val="16"/>
                <w:szCs w:val="16"/>
                <w:highlight w:val="yellow"/>
              </w:rPr>
            </w:pPr>
          </w:p>
          <w:p w:rsidR="007A3488" w:rsidRPr="00DE77DA" w:rsidRDefault="007A3488" w:rsidP="00201BA1">
            <w:pPr>
              <w:jc w:val="right"/>
              <w:rPr>
                <w:sz w:val="16"/>
                <w:szCs w:val="16"/>
              </w:rPr>
            </w:pPr>
            <w:r w:rsidRPr="00DE77DA">
              <w:rPr>
                <w:sz w:val="16"/>
                <w:szCs w:val="16"/>
              </w:rPr>
              <w:t>©</w:t>
            </w:r>
            <w:r w:rsidRPr="0026742A">
              <w:rPr>
                <w:sz w:val="16"/>
                <w:szCs w:val="16"/>
              </w:rPr>
              <w:t xml:space="preserve"> </w:t>
            </w:r>
            <w:r w:rsidRPr="00DE77DA">
              <w:rPr>
                <w:sz w:val="16"/>
                <w:szCs w:val="16"/>
              </w:rPr>
              <w:t>Институт права и публичной политики</w:t>
            </w:r>
          </w:p>
        </w:tc>
      </w:tr>
      <w:tr w:rsidR="007A3488" w:rsidRPr="00CB3C4E" w:rsidTr="00926CF0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7A3488" w:rsidRDefault="007A3488" w:rsidP="007A3488">
            <w:pPr>
              <w:rPr>
                <w:b/>
                <w:sz w:val="14"/>
                <w:szCs w:val="14"/>
              </w:rPr>
            </w:pPr>
          </w:p>
        </w:tc>
      </w:tr>
    </w:tbl>
    <w:p w:rsidR="007A3488" w:rsidRDefault="007A3488" w:rsidP="007A3488">
      <w:pPr>
        <w:ind w:left="1259"/>
        <w:rPr>
          <w:rStyle w:val="a5"/>
          <w:rFonts w:ascii="Arial Narrow" w:hAnsi="Arial Narrow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39B81D" wp14:editId="13592FD7">
            <wp:simplePos x="0" y="0"/>
            <wp:positionH relativeFrom="column">
              <wp:posOffset>-1270</wp:posOffset>
            </wp:positionH>
            <wp:positionV relativeFrom="paragraph">
              <wp:posOffset>122555</wp:posOffset>
            </wp:positionV>
            <wp:extent cx="571500" cy="383540"/>
            <wp:effectExtent l="0" t="0" r="0" b="0"/>
            <wp:wrapSquare wrapText="bothSides"/>
            <wp:docPr id="9" name="Рисунок 9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488" w:rsidRDefault="007A3488" w:rsidP="007A3488">
      <w:pPr>
        <w:ind w:left="1259"/>
        <w:rPr>
          <w:rStyle w:val="a5"/>
          <w:rFonts w:ascii="Arial Narrow" w:hAnsi="Arial Narrow"/>
          <w:bCs/>
          <w:sz w:val="18"/>
          <w:szCs w:val="18"/>
        </w:rPr>
      </w:pPr>
    </w:p>
    <w:p w:rsidR="007A3488" w:rsidRPr="007A3488" w:rsidRDefault="007A3488" w:rsidP="007A3488">
      <w:pPr>
        <w:ind w:left="1259"/>
        <w:rPr>
          <w:rStyle w:val="a5"/>
          <w:b w:val="0"/>
          <w:bCs/>
          <w:sz w:val="18"/>
          <w:szCs w:val="18"/>
        </w:rPr>
      </w:pPr>
      <w:r w:rsidRPr="007A3488">
        <w:rPr>
          <w:rStyle w:val="a5"/>
          <w:b w:val="0"/>
          <w:bCs/>
          <w:sz w:val="18"/>
          <w:szCs w:val="18"/>
        </w:rPr>
        <w:t>При поддержке Европейского Союза</w:t>
      </w:r>
    </w:p>
    <w:p w:rsidR="007A3488" w:rsidRPr="007A3488" w:rsidRDefault="007A3488" w:rsidP="007A3488">
      <w:r w:rsidRPr="007A3488">
        <w:br w:type="page"/>
      </w:r>
    </w:p>
    <w:tbl>
      <w:tblPr>
        <w:tblW w:w="10080" w:type="dxa"/>
        <w:tblInd w:w="-252" w:type="dxa"/>
        <w:tblLook w:val="00A0" w:firstRow="1" w:lastRow="0" w:firstColumn="1" w:lastColumn="0" w:noHBand="0" w:noVBand="0"/>
      </w:tblPr>
      <w:tblGrid>
        <w:gridCol w:w="3066"/>
        <w:gridCol w:w="7014"/>
      </w:tblGrid>
      <w:tr w:rsidR="007A3488" w:rsidRPr="00CB3C4E" w:rsidTr="00926CF0">
        <w:tc>
          <w:tcPr>
            <w:tcW w:w="10080" w:type="dxa"/>
            <w:gridSpan w:val="2"/>
          </w:tcPr>
          <w:p w:rsidR="007A3488" w:rsidRPr="00CB3C4E" w:rsidRDefault="007A3488" w:rsidP="00926CF0">
            <w:pPr>
              <w:spacing w:before="40" w:after="40"/>
              <w:jc w:val="center"/>
              <w:rPr>
                <w:b/>
              </w:rPr>
            </w:pPr>
            <w:r w:rsidRPr="00CB3C4E">
              <w:rPr>
                <w:b/>
              </w:rPr>
              <w:lastRenderedPageBreak/>
              <w:t>СЕМИНАР ДЛЯ АДВОКАТОВ И ЮРИСТОВ</w:t>
            </w:r>
          </w:p>
          <w:p w:rsidR="007A3488" w:rsidRPr="00CB3C4E" w:rsidRDefault="007A3488" w:rsidP="00926CF0">
            <w:pPr>
              <w:spacing w:before="40" w:after="40"/>
              <w:jc w:val="center"/>
              <w:rPr>
                <w:b/>
              </w:rPr>
            </w:pPr>
            <w:r w:rsidRPr="00CB3C4E">
              <w:rPr>
                <w:b/>
              </w:rPr>
              <w:t>«ЖАЛОБА В КОНСТИТУЦИОННЫЙ СУД РОССИИ:</w:t>
            </w:r>
          </w:p>
          <w:p w:rsidR="007A3488" w:rsidRPr="00CB3C4E" w:rsidRDefault="007A3488" w:rsidP="00926CF0">
            <w:pPr>
              <w:spacing w:before="40" w:after="40"/>
              <w:jc w:val="center"/>
              <w:rPr>
                <w:b/>
              </w:rPr>
            </w:pPr>
            <w:r w:rsidRPr="00CB3C4E">
              <w:rPr>
                <w:b/>
              </w:rPr>
              <w:t>ВОЗМОЖНОСТИ, РИСКИ, ПЕРСПЕКТИВЫ»</w:t>
            </w:r>
          </w:p>
          <w:p w:rsidR="007A3488" w:rsidRPr="00CB3C4E" w:rsidRDefault="007A3488" w:rsidP="00926CF0">
            <w:pPr>
              <w:spacing w:before="40" w:after="40"/>
              <w:jc w:val="center"/>
              <w:rPr>
                <w:b/>
              </w:rPr>
            </w:pPr>
          </w:p>
        </w:tc>
      </w:tr>
      <w:tr w:rsidR="007A3488" w:rsidRPr="00475C47" w:rsidTr="00926CF0">
        <w:tc>
          <w:tcPr>
            <w:tcW w:w="10080" w:type="dxa"/>
            <w:gridSpan w:val="2"/>
          </w:tcPr>
          <w:p w:rsidR="007A3488" w:rsidRPr="00475C47" w:rsidRDefault="007A3488" w:rsidP="00926CF0">
            <w:pPr>
              <w:spacing w:before="40" w:after="40"/>
              <w:jc w:val="center"/>
              <w:rPr>
                <w:b/>
              </w:rPr>
            </w:pPr>
            <w:r w:rsidRPr="00475C47">
              <w:rPr>
                <w:b/>
              </w:rPr>
              <w:t xml:space="preserve">Тренеры семинара </w:t>
            </w:r>
            <w:r>
              <w:rPr>
                <w:b/>
              </w:rPr>
              <w:t>20-21 февраля</w:t>
            </w:r>
            <w:r w:rsidRPr="00475C47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475C47">
              <w:rPr>
                <w:b/>
              </w:rPr>
              <w:t xml:space="preserve"> г</w:t>
            </w:r>
            <w:r>
              <w:rPr>
                <w:b/>
              </w:rPr>
              <w:t>ода</w:t>
            </w:r>
          </w:p>
          <w:p w:rsidR="007A3488" w:rsidRPr="00475C47" w:rsidRDefault="007A3488" w:rsidP="00926CF0">
            <w:pPr>
              <w:spacing w:before="40" w:after="40"/>
              <w:jc w:val="center"/>
              <w:rPr>
                <w:b/>
              </w:rPr>
            </w:pPr>
          </w:p>
        </w:tc>
      </w:tr>
      <w:tr w:rsidR="007A3488" w:rsidRPr="00CB3C4E" w:rsidTr="00926CF0">
        <w:tc>
          <w:tcPr>
            <w:tcW w:w="2976" w:type="dxa"/>
          </w:tcPr>
          <w:p w:rsidR="007A3488" w:rsidRPr="00CB3C4E" w:rsidRDefault="007A3488" w:rsidP="00926CF0">
            <w:pPr>
              <w:spacing w:before="40" w:after="40"/>
            </w:pPr>
          </w:p>
        </w:tc>
        <w:tc>
          <w:tcPr>
            <w:tcW w:w="7104" w:type="dxa"/>
          </w:tcPr>
          <w:p w:rsidR="007A3488" w:rsidRPr="00CB3C4E" w:rsidRDefault="007A3488" w:rsidP="00926CF0">
            <w:pPr>
              <w:spacing w:before="40" w:after="40"/>
              <w:jc w:val="both"/>
            </w:pPr>
          </w:p>
        </w:tc>
      </w:tr>
      <w:tr w:rsidR="007A3488" w:rsidRPr="00CB3C4E" w:rsidTr="00926CF0">
        <w:tc>
          <w:tcPr>
            <w:tcW w:w="2976" w:type="dxa"/>
          </w:tcPr>
          <w:p w:rsidR="007A3488" w:rsidRPr="00CB3C4E" w:rsidRDefault="007A3488" w:rsidP="00926CF0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804670" cy="2003425"/>
                  <wp:effectExtent l="0" t="0" r="5080" b="0"/>
                  <wp:docPr id="5" name="Рисунок 5" descr="Vaypan NEW Sep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aypan NEW Sep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7A3488" w:rsidRPr="00CB3C4E" w:rsidRDefault="007A3488" w:rsidP="00201BA1">
            <w:pPr>
              <w:spacing w:before="40" w:after="40"/>
              <w:rPr>
                <w:b/>
              </w:rPr>
            </w:pPr>
            <w:r w:rsidRPr="00CB3C4E">
              <w:rPr>
                <w:b/>
              </w:rPr>
              <w:t>ВАЙПАН Григорий Викторович</w:t>
            </w:r>
          </w:p>
          <w:p w:rsidR="007A3488" w:rsidRPr="000064FB" w:rsidRDefault="007A3488" w:rsidP="00201BA1">
            <w:pPr>
              <w:spacing w:before="40" w:after="40"/>
            </w:pPr>
            <w:r w:rsidRPr="000064FB">
              <w:t>Руководитель судебной практики Института права и публичной политики с 2013 г. Магистр права (LL.M.) (Гарвардский университет). Автор ряда публикаций по конституционно-правовой и международно-правовой проблематике.</w:t>
            </w:r>
          </w:p>
          <w:p w:rsidR="007A3488" w:rsidRDefault="007A3488" w:rsidP="00201BA1">
            <w:pPr>
              <w:spacing w:before="40" w:after="40"/>
            </w:pPr>
            <w:proofErr w:type="gramStart"/>
            <w:r w:rsidRPr="000064FB">
              <w:t xml:space="preserve">Имеет опыт обращения в Конституционный Суд Российской Федерации с 2012 г. по вопросам избирательного права, гражданского права, уголовного права и процесса, производства по делам об административных правонарушениях, муниципального права, жилищного права, права социального обеспечения, исполнения постановлений Европейского Суда по правам человека и др. Автор и руководитель рабочих групп по подготовке ряда экспертных заключений (заключений </w:t>
            </w:r>
            <w:proofErr w:type="spellStart"/>
            <w:r w:rsidRPr="000064FB">
              <w:rPr>
                <w:i/>
              </w:rPr>
              <w:t>amicus</w:t>
            </w:r>
            <w:proofErr w:type="spellEnd"/>
            <w:r w:rsidRPr="000064FB">
              <w:rPr>
                <w:i/>
              </w:rPr>
              <w:t xml:space="preserve"> </w:t>
            </w:r>
            <w:proofErr w:type="spellStart"/>
            <w:r w:rsidRPr="000064FB">
              <w:rPr>
                <w:i/>
              </w:rPr>
              <w:t>curiae</w:t>
            </w:r>
            <w:proofErr w:type="spellEnd"/>
            <w:r w:rsidRPr="000064FB">
              <w:t>) по делам, рассмотренным Конституционным</w:t>
            </w:r>
            <w:proofErr w:type="gramEnd"/>
            <w:r w:rsidRPr="000064FB">
              <w:t xml:space="preserve"> Судом Российской Федерации в 2013-2016 гг.</w:t>
            </w:r>
          </w:p>
          <w:p w:rsidR="007A3488" w:rsidRDefault="007A3488" w:rsidP="00201BA1">
            <w:pPr>
              <w:spacing w:before="40" w:after="40"/>
            </w:pPr>
          </w:p>
          <w:p w:rsidR="007A3488" w:rsidRPr="00CB3C4E" w:rsidRDefault="007A3488" w:rsidP="00201BA1">
            <w:pPr>
              <w:spacing w:before="40" w:after="40"/>
            </w:pPr>
          </w:p>
        </w:tc>
      </w:tr>
      <w:tr w:rsidR="007A3488" w:rsidRPr="00CB3C4E" w:rsidTr="00926CF0">
        <w:trPr>
          <w:trHeight w:val="3377"/>
        </w:trPr>
        <w:tc>
          <w:tcPr>
            <w:tcW w:w="2976" w:type="dxa"/>
          </w:tcPr>
          <w:p w:rsidR="007A3488" w:rsidRPr="00CB3C4E" w:rsidRDefault="007A3488" w:rsidP="00926CF0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14D49F1F" wp14:editId="3BE931C4">
                  <wp:extent cx="1637665" cy="2003425"/>
                  <wp:effectExtent l="0" t="0" r="635" b="0"/>
                  <wp:docPr id="4" name="Рисунок 4" descr="Podoplelova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oplelova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7A3488" w:rsidRPr="00CB3C4E" w:rsidRDefault="007A3488" w:rsidP="00201BA1">
            <w:pPr>
              <w:spacing w:before="40" w:after="40"/>
              <w:rPr>
                <w:b/>
              </w:rPr>
            </w:pPr>
            <w:r w:rsidRPr="00CB3C4E">
              <w:rPr>
                <w:b/>
              </w:rPr>
              <w:t>ПОДОПЛЕЛОВА Ольга Германовна</w:t>
            </w:r>
          </w:p>
          <w:p w:rsidR="007A3488" w:rsidRPr="00CB3C4E" w:rsidRDefault="007A3488" w:rsidP="00201BA1">
            <w:pPr>
              <w:spacing w:before="40" w:after="40"/>
            </w:pPr>
            <w:r w:rsidRPr="00CB3C4E">
              <w:t xml:space="preserve">Старший юрист Института права и публичной политики. Имеет опыт обращения в Конституционный Суд по различным вопросам, включая гражданское, уголовное, уголовно-процессуальное право, </w:t>
            </w:r>
            <w:proofErr w:type="gramStart"/>
            <w:r w:rsidRPr="00CB3C4E">
              <w:t>прав</w:t>
            </w:r>
            <w:r>
              <w:t>о социального обеспечения</w:t>
            </w:r>
            <w:proofErr w:type="gramEnd"/>
            <w:r>
              <w:t xml:space="preserve"> и др.</w:t>
            </w:r>
          </w:p>
          <w:p w:rsidR="007A3488" w:rsidRDefault="007A3488" w:rsidP="00201BA1">
            <w:pPr>
              <w:spacing w:before="40" w:after="40"/>
            </w:pPr>
            <w:r>
              <w:t>Член рабочих групп по подготовке</w:t>
            </w:r>
            <w:r w:rsidRPr="00CB3C4E">
              <w:t xml:space="preserve"> ряда экспертных заключений (</w:t>
            </w:r>
            <w:r>
              <w:t xml:space="preserve">заключений </w:t>
            </w:r>
            <w:proofErr w:type="spellStart"/>
            <w:r w:rsidRPr="00CB3C4E">
              <w:rPr>
                <w:i/>
              </w:rPr>
              <w:t>amicus</w:t>
            </w:r>
            <w:proofErr w:type="spellEnd"/>
            <w:r w:rsidRPr="00CB3C4E">
              <w:rPr>
                <w:i/>
              </w:rPr>
              <w:t xml:space="preserve"> </w:t>
            </w:r>
            <w:proofErr w:type="spellStart"/>
            <w:r w:rsidRPr="00CB3C4E">
              <w:rPr>
                <w:i/>
              </w:rPr>
              <w:t>curiae</w:t>
            </w:r>
            <w:proofErr w:type="spellEnd"/>
            <w:r w:rsidRPr="00CB3C4E">
              <w:t>) по делам, рассмотренным Консти</w:t>
            </w:r>
            <w:r>
              <w:t>туционным Судом в 2015-2016 гг.</w:t>
            </w:r>
          </w:p>
          <w:p w:rsidR="007A3488" w:rsidRPr="00CB3C4E" w:rsidRDefault="007A3488" w:rsidP="00201BA1">
            <w:pPr>
              <w:spacing w:before="40" w:after="40"/>
            </w:pPr>
            <w:r>
              <w:t xml:space="preserve">Автор ряда публикаций по вопросам конституционного права, соавтор </w:t>
            </w:r>
            <w:r w:rsidRPr="00EC6293">
              <w:t>практическо</w:t>
            </w:r>
            <w:r>
              <w:t>го</w:t>
            </w:r>
            <w:r w:rsidRPr="00EC6293">
              <w:t xml:space="preserve"> руководств</w:t>
            </w:r>
            <w:r>
              <w:t>а</w:t>
            </w:r>
            <w:r w:rsidRPr="00EC6293">
              <w:t xml:space="preserve"> для журналистов «Освещение конституционных судебных процессов»</w:t>
            </w:r>
            <w:r>
              <w:t xml:space="preserve"> (Институт права и публичной политики, 2016 г.)</w:t>
            </w:r>
          </w:p>
        </w:tc>
      </w:tr>
    </w:tbl>
    <w:p w:rsidR="007A3488" w:rsidRPr="00065668" w:rsidRDefault="007A3488" w:rsidP="007A3488">
      <w:pPr>
        <w:rPr>
          <w:sz w:val="2"/>
        </w:rPr>
      </w:pPr>
    </w:p>
    <w:p w:rsidR="00D01E9B" w:rsidRDefault="00D01E9B" w:rsidP="00654225"/>
    <w:sectPr w:rsidR="00D0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5"/>
    <w:rsid w:val="00201BA1"/>
    <w:rsid w:val="00654225"/>
    <w:rsid w:val="007A3488"/>
    <w:rsid w:val="00D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25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5"/>
    <w:rPr>
      <w:rFonts w:ascii="Tahoma" w:hAnsi="Tahoma" w:cs="Tahoma"/>
      <w:sz w:val="16"/>
      <w:szCs w:val="16"/>
    </w:rPr>
  </w:style>
  <w:style w:type="character" w:styleId="a5">
    <w:name w:val="Strong"/>
    <w:qFormat/>
    <w:rsid w:val="007A3488"/>
    <w:rPr>
      <w:b/>
    </w:rPr>
  </w:style>
  <w:style w:type="character" w:styleId="a6">
    <w:name w:val="Hyperlink"/>
    <w:basedOn w:val="a0"/>
    <w:uiPriority w:val="99"/>
    <w:semiHidden/>
    <w:unhideWhenUsed/>
    <w:rsid w:val="007A3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25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5"/>
    <w:rPr>
      <w:rFonts w:ascii="Tahoma" w:hAnsi="Tahoma" w:cs="Tahoma"/>
      <w:sz w:val="16"/>
      <w:szCs w:val="16"/>
    </w:rPr>
  </w:style>
  <w:style w:type="character" w:styleId="a5">
    <w:name w:val="Strong"/>
    <w:qFormat/>
    <w:rsid w:val="007A3488"/>
    <w:rPr>
      <w:b/>
    </w:rPr>
  </w:style>
  <w:style w:type="character" w:styleId="a6">
    <w:name w:val="Hyperlink"/>
    <w:basedOn w:val="a0"/>
    <w:uiPriority w:val="99"/>
    <w:semiHidden/>
    <w:unhideWhenUsed/>
    <w:rsid w:val="007A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rskiycityhotel.ru/contac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europa.eu/about-eu/basic-information/symbols/images/flag_yellow_lo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cp:lastPrinted>2017-01-14T07:59:00Z</cp:lastPrinted>
  <dcterms:created xsi:type="dcterms:W3CDTF">2017-01-14T07:55:00Z</dcterms:created>
  <dcterms:modified xsi:type="dcterms:W3CDTF">2017-01-14T08:01:00Z</dcterms:modified>
</cp:coreProperties>
</file>